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C72A" w14:textId="77777777" w:rsidR="001513AA" w:rsidRPr="001513AA" w:rsidRDefault="001513AA" w:rsidP="001513AA">
      <w:pPr>
        <w:pStyle w:val="Sansinterligne"/>
        <w:tabs>
          <w:tab w:val="left" w:pos="5670"/>
        </w:tabs>
        <w:ind w:left="-284"/>
        <w:jc w:val="left"/>
        <w:rPr>
          <w:rFonts w:ascii="Tahoma" w:hAnsi="Tahoma" w:cs="Tahoma"/>
          <w:b/>
          <w:sz w:val="20"/>
          <w:szCs w:val="20"/>
        </w:rPr>
      </w:pPr>
    </w:p>
    <w:p w14:paraId="4953726B" w14:textId="77777777" w:rsidR="001513AA" w:rsidRPr="001513AA" w:rsidRDefault="001513AA" w:rsidP="001513AA">
      <w:pPr>
        <w:ind w:left="993"/>
        <w:jc w:val="center"/>
        <w:rPr>
          <w:rFonts w:ascii="Tahoma" w:hAnsi="Tahoma" w:cs="Tahoma"/>
          <w:b/>
          <w:bCs/>
          <w:sz w:val="20"/>
          <w:szCs w:val="20"/>
        </w:rPr>
      </w:pPr>
      <w:r w:rsidRPr="001513AA">
        <w:rPr>
          <w:rFonts w:ascii="Tahoma" w:hAnsi="Tahoma" w:cs="Tahoma"/>
          <w:b/>
          <w:bCs/>
          <w:sz w:val="20"/>
          <w:szCs w:val="20"/>
        </w:rPr>
        <w:t>Modèle de délibération autorisant l’adhésion de la collectivité/établissement à la procédure de médiation préalable obligatoire</w:t>
      </w:r>
    </w:p>
    <w:p w14:paraId="21595CBF" w14:textId="77777777" w:rsidR="001513AA" w:rsidRPr="001513AA" w:rsidRDefault="001513AA" w:rsidP="001513AA">
      <w:pPr>
        <w:pStyle w:val="Sansinterligne"/>
        <w:spacing w:line="276" w:lineRule="auto"/>
        <w:rPr>
          <w:rFonts w:ascii="Tahoma" w:hAnsi="Tahoma" w:cs="Tahoma"/>
          <w:b/>
          <w:sz w:val="20"/>
          <w:szCs w:val="20"/>
        </w:rPr>
      </w:pPr>
    </w:p>
    <w:p w14:paraId="7C47D81C" w14:textId="36C036C5" w:rsidR="001513AA" w:rsidRPr="001513AA" w:rsidRDefault="001513AA" w:rsidP="001513AA">
      <w:pPr>
        <w:pStyle w:val="Sansinterligne"/>
        <w:rPr>
          <w:rFonts w:ascii="Tahoma" w:hAnsi="Tahoma" w:cs="Tahoma"/>
          <w:b/>
          <w:sz w:val="20"/>
          <w:szCs w:val="20"/>
        </w:rPr>
      </w:pPr>
      <w:r w:rsidRPr="001513AA">
        <w:rPr>
          <w:rFonts w:ascii="Tahoma" w:hAnsi="Tahoma" w:cs="Tahoma"/>
          <w:b/>
          <w:sz w:val="20"/>
          <w:szCs w:val="20"/>
        </w:rPr>
        <w:t xml:space="preserve">Délibération n° … - Adhésion à la procédure de médiation préalable obligatoire (MPO) dans certains litiges de la fonction publique mise en œuvre par le Centre de gestion </w:t>
      </w:r>
      <w:r>
        <w:rPr>
          <w:rFonts w:ascii="Tahoma" w:hAnsi="Tahoma" w:cs="Tahoma"/>
          <w:b/>
          <w:sz w:val="20"/>
          <w:szCs w:val="20"/>
        </w:rPr>
        <w:t>u Calvados</w:t>
      </w:r>
    </w:p>
    <w:p w14:paraId="6B3AAA5F" w14:textId="77777777" w:rsidR="001513AA" w:rsidRPr="001513AA" w:rsidRDefault="001513AA" w:rsidP="001513AA">
      <w:pPr>
        <w:pStyle w:val="Sansinterligne"/>
        <w:tabs>
          <w:tab w:val="left" w:leader="dot" w:pos="4962"/>
        </w:tabs>
        <w:rPr>
          <w:rFonts w:ascii="Tahoma" w:hAnsi="Tahoma" w:cs="Tahoma"/>
          <w:kern w:val="28"/>
          <w:sz w:val="20"/>
          <w:szCs w:val="20"/>
        </w:rPr>
      </w:pPr>
    </w:p>
    <w:p w14:paraId="44A6F69F" w14:textId="77777777" w:rsidR="001513AA" w:rsidRPr="001513AA" w:rsidRDefault="001513AA" w:rsidP="001513AA">
      <w:pPr>
        <w:pStyle w:val="Sansinterligne"/>
        <w:tabs>
          <w:tab w:val="left" w:leader="dot" w:pos="4962"/>
        </w:tabs>
        <w:rPr>
          <w:rFonts w:ascii="Tahoma" w:hAnsi="Tahoma" w:cs="Tahoma"/>
          <w:kern w:val="28"/>
          <w:sz w:val="20"/>
          <w:szCs w:val="20"/>
        </w:rPr>
      </w:pPr>
      <w:r w:rsidRPr="001513AA">
        <w:rPr>
          <w:rFonts w:ascii="Tahoma" w:hAnsi="Tahoma" w:cs="Tahoma"/>
          <w:kern w:val="28"/>
          <w:sz w:val="20"/>
          <w:szCs w:val="20"/>
        </w:rPr>
        <w:t xml:space="preserve">Madame/Monsieur le Maire/Président(e) expose ce qui suit : </w:t>
      </w:r>
    </w:p>
    <w:p w14:paraId="54501232" w14:textId="77777777" w:rsidR="001513AA" w:rsidRPr="001513AA" w:rsidRDefault="001513AA" w:rsidP="001513AA">
      <w:pPr>
        <w:pStyle w:val="Sansinterligne"/>
        <w:tabs>
          <w:tab w:val="left" w:leader="dot" w:pos="4962"/>
        </w:tabs>
        <w:rPr>
          <w:rFonts w:ascii="Tahoma" w:hAnsi="Tahoma" w:cs="Tahoma"/>
          <w:kern w:val="28"/>
          <w:sz w:val="20"/>
          <w:szCs w:val="20"/>
        </w:rPr>
      </w:pPr>
    </w:p>
    <w:p w14:paraId="1ED6D93D" w14:textId="77777777" w:rsidR="001513AA" w:rsidRPr="001513AA" w:rsidRDefault="001513AA" w:rsidP="001513AA">
      <w:pPr>
        <w:autoSpaceDE w:val="0"/>
        <w:autoSpaceDN w:val="0"/>
        <w:adjustRightInd w:val="0"/>
        <w:spacing w:after="0" w:line="240" w:lineRule="auto"/>
        <w:jc w:val="both"/>
        <w:rPr>
          <w:rFonts w:ascii="Tahoma" w:hAnsi="Tahoma" w:cs="Tahoma"/>
          <w:sz w:val="20"/>
          <w:szCs w:val="20"/>
        </w:rPr>
      </w:pPr>
      <w:r w:rsidRPr="001513AA">
        <w:rPr>
          <w:rFonts w:ascii="Tahoma" w:hAnsi="Tahoma" w:cs="Tahoma"/>
          <w:sz w:val="20"/>
          <w:szCs w:val="20"/>
        </w:rPr>
        <w:t xml:space="preserve">Le décret n°2022-433 du 25 mars 2022 introduit une section dans le Code de justice administrative afin que les recours formés contre les décisions individuelles défavorables listées dans ce même décret soient précédés d’une tentative de médiation. </w:t>
      </w:r>
    </w:p>
    <w:p w14:paraId="3358C12B" w14:textId="77777777" w:rsidR="001513AA" w:rsidRPr="001513AA" w:rsidRDefault="001513AA" w:rsidP="001513AA">
      <w:pPr>
        <w:autoSpaceDE w:val="0"/>
        <w:autoSpaceDN w:val="0"/>
        <w:adjustRightInd w:val="0"/>
        <w:spacing w:after="0" w:line="240" w:lineRule="auto"/>
        <w:jc w:val="both"/>
        <w:rPr>
          <w:rFonts w:ascii="Tahoma" w:eastAsia="Times New Roman" w:hAnsi="Tahoma" w:cs="Tahoma"/>
          <w:bCs/>
          <w:sz w:val="20"/>
          <w:szCs w:val="20"/>
          <w:lang w:eastAsia="fr-FR"/>
        </w:rPr>
      </w:pPr>
      <w:r w:rsidRPr="001513AA">
        <w:rPr>
          <w:rFonts w:ascii="Tahoma" w:eastAsia="Times New Roman" w:hAnsi="Tahoma" w:cs="Tahoma"/>
          <w:sz w:val="20"/>
          <w:szCs w:val="20"/>
          <w:lang w:eastAsia="fr-FR"/>
        </w:rPr>
        <w:t xml:space="preserve">La médiation préalable obligatoire vise à parvenir à une solution amiable entre les parties, les employeurs et les agents, grâce à l’intervention d’un tiers neutre. C’est un mode de résolution de litiges </w:t>
      </w:r>
      <w:r w:rsidRPr="001513AA">
        <w:rPr>
          <w:rFonts w:ascii="Tahoma" w:eastAsia="Times New Roman" w:hAnsi="Tahoma" w:cs="Tahoma"/>
          <w:bCs/>
          <w:sz w:val="20"/>
          <w:szCs w:val="20"/>
          <w:lang w:eastAsia="fr-FR"/>
        </w:rPr>
        <w:t>plus rapide et moins onéreux qu’une procédure contentieuse. </w:t>
      </w:r>
    </w:p>
    <w:p w14:paraId="6EF75773" w14:textId="07B305B3" w:rsidR="001513AA" w:rsidRPr="001513AA" w:rsidRDefault="001513AA" w:rsidP="001513AA">
      <w:pPr>
        <w:autoSpaceDE w:val="0"/>
        <w:autoSpaceDN w:val="0"/>
        <w:adjustRightInd w:val="0"/>
        <w:spacing w:after="0" w:line="240" w:lineRule="auto"/>
        <w:jc w:val="both"/>
        <w:rPr>
          <w:rFonts w:ascii="Tahoma" w:eastAsia="Times New Roman" w:hAnsi="Tahoma" w:cs="Tahoma"/>
          <w:sz w:val="20"/>
          <w:szCs w:val="20"/>
          <w:lang w:eastAsia="fr-FR"/>
        </w:rPr>
      </w:pPr>
      <w:r w:rsidRPr="001513AA">
        <w:rPr>
          <w:rFonts w:ascii="Tahoma" w:eastAsia="Times New Roman" w:hAnsi="Tahoma" w:cs="Tahoma"/>
          <w:sz w:val="20"/>
          <w:szCs w:val="20"/>
          <w:lang w:eastAsia="fr-FR"/>
        </w:rPr>
        <w:t xml:space="preserve">Cette médiation est assurée par le Centre de Gestion </w:t>
      </w:r>
      <w:r>
        <w:rPr>
          <w:rFonts w:ascii="Tahoma" w:eastAsia="Times New Roman" w:hAnsi="Tahoma" w:cs="Tahoma"/>
          <w:sz w:val="20"/>
          <w:szCs w:val="20"/>
          <w:lang w:eastAsia="fr-FR"/>
        </w:rPr>
        <w:t>du Calvados</w:t>
      </w:r>
      <w:r w:rsidRPr="001513AA">
        <w:rPr>
          <w:rFonts w:ascii="Tahoma" w:eastAsia="Times New Roman" w:hAnsi="Tahoma" w:cs="Tahoma"/>
          <w:sz w:val="20"/>
          <w:szCs w:val="20"/>
          <w:lang w:eastAsia="fr-FR"/>
        </w:rPr>
        <w:t xml:space="preserve"> en application de l’article 25-2 de la loi n° 84-53 dès lors qu’une convention a été signée avec celui-ci.</w:t>
      </w:r>
    </w:p>
    <w:p w14:paraId="21E2C5E6" w14:textId="77777777" w:rsidR="001513AA" w:rsidRPr="001513AA" w:rsidRDefault="001513AA" w:rsidP="001513AA">
      <w:pPr>
        <w:autoSpaceDE w:val="0"/>
        <w:autoSpaceDN w:val="0"/>
        <w:adjustRightInd w:val="0"/>
        <w:spacing w:after="0" w:line="240" w:lineRule="auto"/>
        <w:jc w:val="both"/>
        <w:rPr>
          <w:rFonts w:ascii="Tahoma" w:hAnsi="Tahoma" w:cs="Tahoma"/>
          <w:sz w:val="20"/>
          <w:szCs w:val="20"/>
        </w:rPr>
      </w:pPr>
    </w:p>
    <w:p w14:paraId="13CECA6B" w14:textId="77777777" w:rsidR="001513AA" w:rsidRPr="001513AA" w:rsidRDefault="001513AA" w:rsidP="001513AA">
      <w:pPr>
        <w:autoSpaceDE w:val="0"/>
        <w:autoSpaceDN w:val="0"/>
        <w:adjustRightInd w:val="0"/>
        <w:spacing w:after="0" w:line="240" w:lineRule="auto"/>
        <w:jc w:val="both"/>
        <w:rPr>
          <w:rFonts w:ascii="Tahoma" w:hAnsi="Tahoma" w:cs="Tahoma"/>
          <w:sz w:val="20"/>
          <w:szCs w:val="20"/>
        </w:rPr>
      </w:pPr>
      <w:r w:rsidRPr="001513AA">
        <w:rPr>
          <w:rFonts w:ascii="Tahoma" w:hAnsi="Tahoma" w:cs="Tahoma"/>
          <w:sz w:val="20"/>
          <w:szCs w:val="20"/>
        </w:rPr>
        <w:t xml:space="preserve">Ainsi, en qualité de </w:t>
      </w:r>
      <w:r w:rsidRPr="006269D2">
        <w:rPr>
          <w:rFonts w:ascii="Tahoma" w:hAnsi="Tahoma" w:cs="Tahoma"/>
          <w:bCs/>
          <w:sz w:val="20"/>
          <w:szCs w:val="20"/>
        </w:rPr>
        <w:t>tiers de confiance</w:t>
      </w:r>
      <w:r w:rsidRPr="001513AA">
        <w:rPr>
          <w:rFonts w:ascii="Tahoma" w:hAnsi="Tahoma" w:cs="Tahoma"/>
          <w:sz w:val="20"/>
          <w:szCs w:val="20"/>
        </w:rPr>
        <w:t xml:space="preserve">, les Centres de Gestion peuvent intervenir comme médiateurs dans les litiges opposant des agents publics à leur employeur. </w:t>
      </w:r>
    </w:p>
    <w:p w14:paraId="7F3837BE" w14:textId="77777777" w:rsidR="001513AA" w:rsidRPr="001513AA" w:rsidRDefault="001513AA" w:rsidP="001513AA">
      <w:pPr>
        <w:autoSpaceDE w:val="0"/>
        <w:autoSpaceDN w:val="0"/>
        <w:adjustRightInd w:val="0"/>
        <w:spacing w:after="0" w:line="240" w:lineRule="auto"/>
        <w:jc w:val="both"/>
        <w:rPr>
          <w:rFonts w:ascii="Tahoma" w:hAnsi="Tahoma" w:cs="Tahoma"/>
          <w:sz w:val="20"/>
          <w:szCs w:val="20"/>
        </w:rPr>
      </w:pPr>
    </w:p>
    <w:p w14:paraId="2ABF822A" w14:textId="77777777" w:rsidR="001513AA" w:rsidRPr="001513AA" w:rsidRDefault="001513AA" w:rsidP="001513AA">
      <w:pPr>
        <w:spacing w:after="160" w:line="240" w:lineRule="auto"/>
        <w:jc w:val="both"/>
        <w:rPr>
          <w:rFonts w:ascii="Tahoma" w:hAnsi="Tahoma" w:cs="Tahoma"/>
          <w:sz w:val="20"/>
          <w:szCs w:val="20"/>
        </w:rPr>
      </w:pPr>
      <w:r w:rsidRPr="001513AA">
        <w:rPr>
          <w:rFonts w:ascii="Tahoma" w:hAnsi="Tahoma" w:cs="Tahoma"/>
          <w:bCs/>
          <w:sz w:val="20"/>
          <w:szCs w:val="20"/>
        </w:rPr>
        <w:t>La</w:t>
      </w:r>
      <w:r w:rsidRPr="001513AA">
        <w:rPr>
          <w:rFonts w:ascii="Tahoma" w:hAnsi="Tahoma" w:cs="Tahoma"/>
          <w:sz w:val="20"/>
          <w:szCs w:val="20"/>
        </w:rPr>
        <w:t xml:space="preserve"> procédure de MPO est applicable aux recours formés par les agents publics à l’encontre des décisions administratives suivantes :</w:t>
      </w:r>
    </w:p>
    <w:p w14:paraId="0FF14EC4" w14:textId="77777777" w:rsidR="001513AA" w:rsidRPr="001513AA" w:rsidRDefault="001513AA" w:rsidP="001513AA">
      <w:pPr>
        <w:autoSpaceDE w:val="0"/>
        <w:autoSpaceDN w:val="0"/>
        <w:adjustRightInd w:val="0"/>
        <w:spacing w:after="0" w:line="240" w:lineRule="auto"/>
        <w:ind w:left="284"/>
        <w:jc w:val="both"/>
        <w:rPr>
          <w:rFonts w:ascii="Tahoma" w:hAnsi="Tahoma" w:cs="Tahoma"/>
          <w:sz w:val="20"/>
          <w:szCs w:val="20"/>
        </w:rPr>
      </w:pPr>
      <w:r w:rsidRPr="001513AA">
        <w:rPr>
          <w:rFonts w:ascii="Tahoma" w:hAnsi="Tahoma" w:cs="Tahoma"/>
          <w:sz w:val="20"/>
          <w:szCs w:val="20"/>
        </w:rPr>
        <w:t>1° Décisions administratives individuelles défavorables relatives à l'un des éléments de rémunération mentionnés à l’article L. 712-1 du Code Général de la fonction publique ;</w:t>
      </w:r>
    </w:p>
    <w:p w14:paraId="37676FF3" w14:textId="79957354" w:rsidR="001513AA" w:rsidRPr="001513AA" w:rsidRDefault="001513AA" w:rsidP="001513AA">
      <w:pPr>
        <w:autoSpaceDE w:val="0"/>
        <w:autoSpaceDN w:val="0"/>
        <w:adjustRightInd w:val="0"/>
        <w:spacing w:after="0" w:line="240" w:lineRule="auto"/>
        <w:ind w:left="284"/>
        <w:jc w:val="both"/>
        <w:rPr>
          <w:rFonts w:ascii="Tahoma" w:hAnsi="Tahoma" w:cs="Tahoma"/>
          <w:sz w:val="20"/>
          <w:szCs w:val="20"/>
        </w:rPr>
      </w:pPr>
      <w:r w:rsidRPr="001513AA">
        <w:rPr>
          <w:rFonts w:ascii="Tahoma" w:hAnsi="Tahoma" w:cs="Tahoma"/>
          <w:sz w:val="20"/>
          <w:szCs w:val="20"/>
        </w:rPr>
        <w:br/>
        <w:t>2° Refus de détachement, ou de placement en disponibilité et, pour les agents contractuels, refus de congés non rémunérés prévus aux articles 20, 22, 23 et 33-2 du décret n°86-83 du 17 janvier 1986 et 15, 17, 18 et 35-2 du décret n°88-145 du 15 février 1988 ;</w:t>
      </w:r>
    </w:p>
    <w:p w14:paraId="163E8057" w14:textId="77777777" w:rsidR="001513AA" w:rsidRPr="001513AA" w:rsidRDefault="001513AA" w:rsidP="001513AA">
      <w:pPr>
        <w:autoSpaceDE w:val="0"/>
        <w:autoSpaceDN w:val="0"/>
        <w:adjustRightInd w:val="0"/>
        <w:spacing w:after="0" w:line="240" w:lineRule="auto"/>
        <w:ind w:left="284"/>
        <w:jc w:val="both"/>
        <w:rPr>
          <w:rFonts w:ascii="Tahoma" w:hAnsi="Tahoma" w:cs="Tahoma"/>
          <w:sz w:val="20"/>
          <w:szCs w:val="20"/>
        </w:rPr>
      </w:pPr>
      <w:r w:rsidRPr="001513AA">
        <w:rPr>
          <w:rFonts w:ascii="Tahoma" w:hAnsi="Tahoma" w:cs="Tahoma"/>
          <w:sz w:val="20"/>
          <w:szCs w:val="20"/>
        </w:rPr>
        <w:br/>
        <w:t>3° Décisions administratives individuelles défavorables relatives à la réintégration à l'issue d'un détachement, d'un placement en disponibilité ou d'un congé parental ou relatives au réemploi d'un agent contractuel à l'issue d'un congé mentionné au 2° ci-dessus ;</w:t>
      </w:r>
    </w:p>
    <w:p w14:paraId="76CE52E2" w14:textId="77777777" w:rsidR="001513AA" w:rsidRPr="001513AA" w:rsidRDefault="001513AA" w:rsidP="001513AA">
      <w:pPr>
        <w:autoSpaceDE w:val="0"/>
        <w:autoSpaceDN w:val="0"/>
        <w:adjustRightInd w:val="0"/>
        <w:spacing w:after="0" w:line="240" w:lineRule="auto"/>
        <w:ind w:left="284"/>
        <w:jc w:val="both"/>
        <w:rPr>
          <w:rFonts w:ascii="Tahoma" w:hAnsi="Tahoma" w:cs="Tahoma"/>
          <w:sz w:val="20"/>
          <w:szCs w:val="20"/>
        </w:rPr>
      </w:pPr>
      <w:r w:rsidRPr="001513AA">
        <w:rPr>
          <w:rFonts w:ascii="Tahoma" w:hAnsi="Tahoma" w:cs="Tahoma"/>
          <w:sz w:val="20"/>
          <w:szCs w:val="20"/>
        </w:rPr>
        <w:br/>
        <w:t>4° Décisions administratives individuelles défavorables relatives au classement de l'agent à l'issue d'un avancement de grade ou d'un changement de corps ou cadre d’emploi obtenu par promotion interne ;</w:t>
      </w:r>
    </w:p>
    <w:p w14:paraId="644E9AAA" w14:textId="77777777" w:rsidR="001513AA" w:rsidRPr="001513AA" w:rsidRDefault="001513AA" w:rsidP="001513AA">
      <w:pPr>
        <w:autoSpaceDE w:val="0"/>
        <w:autoSpaceDN w:val="0"/>
        <w:adjustRightInd w:val="0"/>
        <w:spacing w:after="0" w:line="240" w:lineRule="auto"/>
        <w:ind w:left="284"/>
        <w:jc w:val="both"/>
        <w:rPr>
          <w:rFonts w:ascii="Tahoma" w:hAnsi="Tahoma" w:cs="Tahoma"/>
          <w:sz w:val="20"/>
          <w:szCs w:val="20"/>
        </w:rPr>
      </w:pPr>
      <w:r w:rsidRPr="001513AA">
        <w:rPr>
          <w:rFonts w:ascii="Tahoma" w:hAnsi="Tahoma" w:cs="Tahoma"/>
          <w:sz w:val="20"/>
          <w:szCs w:val="20"/>
        </w:rPr>
        <w:br/>
        <w:t>5° Décisions administratives individuelles défavorables relatives à la formation professionnelle tout au long de la vie ;</w:t>
      </w:r>
    </w:p>
    <w:p w14:paraId="3690619F" w14:textId="77777777" w:rsidR="001513AA" w:rsidRPr="001513AA" w:rsidRDefault="001513AA" w:rsidP="001513AA">
      <w:pPr>
        <w:autoSpaceDE w:val="0"/>
        <w:autoSpaceDN w:val="0"/>
        <w:adjustRightInd w:val="0"/>
        <w:spacing w:after="0" w:line="240" w:lineRule="auto"/>
        <w:ind w:left="284"/>
        <w:jc w:val="both"/>
        <w:rPr>
          <w:rFonts w:ascii="Tahoma" w:hAnsi="Tahoma" w:cs="Tahoma"/>
          <w:sz w:val="20"/>
          <w:szCs w:val="20"/>
        </w:rPr>
      </w:pPr>
      <w:r w:rsidRPr="001513AA">
        <w:rPr>
          <w:rFonts w:ascii="Tahoma" w:hAnsi="Tahoma" w:cs="Tahoma"/>
          <w:sz w:val="20"/>
          <w:szCs w:val="20"/>
        </w:rPr>
        <w:br/>
        <w:t>6° Décisions administratives individuelles défavorables relatives aux mesures appropriées prises par les employeurs publics à l'égard des travailleurs handicapés en application des articles L. 131-8 et L.131-10 du Code Général de la fonction publique ;</w:t>
      </w:r>
    </w:p>
    <w:p w14:paraId="5BFDDFE2" w14:textId="31CBDF8F" w:rsidR="001513AA" w:rsidRPr="001513AA" w:rsidRDefault="001513AA" w:rsidP="001513AA">
      <w:pPr>
        <w:autoSpaceDE w:val="0"/>
        <w:autoSpaceDN w:val="0"/>
        <w:adjustRightInd w:val="0"/>
        <w:spacing w:after="0" w:line="240" w:lineRule="auto"/>
        <w:ind w:left="284"/>
        <w:jc w:val="both"/>
        <w:rPr>
          <w:rFonts w:ascii="Tahoma" w:hAnsi="Tahoma" w:cs="Tahoma"/>
          <w:sz w:val="20"/>
          <w:szCs w:val="20"/>
        </w:rPr>
      </w:pPr>
      <w:r w:rsidRPr="001513AA">
        <w:rPr>
          <w:rFonts w:ascii="Tahoma" w:hAnsi="Tahoma" w:cs="Tahoma"/>
          <w:sz w:val="20"/>
          <w:szCs w:val="20"/>
        </w:rPr>
        <w:br/>
        <w:t>7° Décisions administratives individuelles défavorables concernant l'aménagement des conditions de travail des fonctionnaires qui ne sont plus en mesure d'exercer leurs fonctions dans les conditions prévues par les décrets n° 84-1051 du 30 novembre 1984 et n°85-1054 du 30 septembre 1985.</w:t>
      </w:r>
    </w:p>
    <w:p w14:paraId="3582DA1D" w14:textId="77777777" w:rsidR="001513AA" w:rsidRPr="001513AA" w:rsidRDefault="001513AA" w:rsidP="001513AA">
      <w:pPr>
        <w:autoSpaceDE w:val="0"/>
        <w:autoSpaceDN w:val="0"/>
        <w:adjustRightInd w:val="0"/>
        <w:spacing w:after="0" w:line="240" w:lineRule="auto"/>
        <w:jc w:val="both"/>
        <w:rPr>
          <w:rFonts w:ascii="Tahoma" w:hAnsi="Tahoma" w:cs="Tahoma"/>
          <w:kern w:val="28"/>
          <w:sz w:val="20"/>
          <w:szCs w:val="20"/>
        </w:rPr>
      </w:pPr>
    </w:p>
    <w:p w14:paraId="77F64B6C" w14:textId="436EBC09" w:rsidR="001513AA" w:rsidRPr="001513AA" w:rsidRDefault="001513AA" w:rsidP="001513AA">
      <w:pPr>
        <w:autoSpaceDE w:val="0"/>
        <w:autoSpaceDN w:val="0"/>
        <w:adjustRightInd w:val="0"/>
        <w:spacing w:after="0" w:line="240" w:lineRule="auto"/>
        <w:jc w:val="both"/>
        <w:rPr>
          <w:rFonts w:ascii="Tahoma" w:hAnsi="Tahoma" w:cs="Tahoma"/>
          <w:sz w:val="20"/>
          <w:szCs w:val="20"/>
        </w:rPr>
      </w:pPr>
      <w:r w:rsidRPr="001513AA">
        <w:rPr>
          <w:rFonts w:ascii="Tahoma" w:hAnsi="Tahoma" w:cs="Tahoma"/>
          <w:kern w:val="28"/>
          <w:sz w:val="20"/>
          <w:szCs w:val="20"/>
        </w:rPr>
        <w:t xml:space="preserve">Le </w:t>
      </w:r>
      <w:r w:rsidRPr="001513AA">
        <w:rPr>
          <w:rFonts w:ascii="Tahoma" w:hAnsi="Tahoma" w:cs="Tahoma"/>
          <w:sz w:val="20"/>
          <w:szCs w:val="20"/>
        </w:rPr>
        <w:t xml:space="preserve">Centre de Gestion </w:t>
      </w:r>
      <w:r>
        <w:rPr>
          <w:rFonts w:ascii="Tahoma" w:hAnsi="Tahoma" w:cs="Tahoma"/>
          <w:sz w:val="20"/>
          <w:szCs w:val="20"/>
        </w:rPr>
        <w:t>du Calvados</w:t>
      </w:r>
      <w:r w:rsidRPr="001513AA">
        <w:rPr>
          <w:rFonts w:ascii="Tahoma" w:hAnsi="Tahoma" w:cs="Tahoma"/>
          <w:sz w:val="20"/>
          <w:szCs w:val="20"/>
        </w:rPr>
        <w:t xml:space="preserve"> </w:t>
      </w:r>
      <w:r w:rsidRPr="001513AA">
        <w:rPr>
          <w:rFonts w:ascii="Tahoma" w:hAnsi="Tahoma" w:cs="Tahoma"/>
          <w:kern w:val="28"/>
          <w:sz w:val="20"/>
          <w:szCs w:val="20"/>
        </w:rPr>
        <w:t>propose ainsi aux collectivités et établissements publics qui le souhaitent d’adhérer par voie de convention à la procédure de médiation préalable obligatoire. En cas d’adhésion, chaque collectivité pourra, en cas de besoin, bénéficier de cette mission.</w:t>
      </w:r>
    </w:p>
    <w:p w14:paraId="3EB8539D" w14:textId="37E76732" w:rsidR="001513AA" w:rsidRPr="001513AA" w:rsidRDefault="001513AA" w:rsidP="001513AA">
      <w:pPr>
        <w:pStyle w:val="Sansinterligne"/>
        <w:tabs>
          <w:tab w:val="left" w:pos="2628"/>
        </w:tabs>
        <w:rPr>
          <w:rFonts w:ascii="Tahoma" w:hAnsi="Tahoma" w:cs="Tahoma"/>
          <w:b/>
          <w:kern w:val="28"/>
          <w:sz w:val="20"/>
          <w:szCs w:val="20"/>
        </w:rPr>
      </w:pPr>
    </w:p>
    <w:p w14:paraId="406C7EBC" w14:textId="77777777" w:rsidR="001513AA" w:rsidRPr="001513AA" w:rsidRDefault="001513AA" w:rsidP="001513AA">
      <w:pPr>
        <w:pStyle w:val="Sansinterligne"/>
        <w:tabs>
          <w:tab w:val="left" w:pos="2628"/>
        </w:tabs>
        <w:rPr>
          <w:rFonts w:ascii="Tahoma" w:hAnsi="Tahoma" w:cs="Tahoma"/>
          <w:b/>
          <w:kern w:val="28"/>
          <w:sz w:val="20"/>
          <w:szCs w:val="20"/>
        </w:rPr>
      </w:pPr>
    </w:p>
    <w:p w14:paraId="1D46BDD4" w14:textId="77777777" w:rsidR="001513AA" w:rsidRPr="001513AA" w:rsidRDefault="001513AA" w:rsidP="001513AA">
      <w:pPr>
        <w:pStyle w:val="Sansinterligne"/>
        <w:tabs>
          <w:tab w:val="left" w:pos="2628"/>
        </w:tabs>
        <w:rPr>
          <w:rFonts w:ascii="Tahoma" w:hAnsi="Tahoma" w:cs="Tahoma"/>
          <w:b/>
          <w:kern w:val="28"/>
          <w:sz w:val="20"/>
          <w:szCs w:val="20"/>
        </w:rPr>
      </w:pPr>
    </w:p>
    <w:p w14:paraId="3DED2517" w14:textId="77777777" w:rsidR="001513AA" w:rsidRPr="001513AA" w:rsidRDefault="001513AA" w:rsidP="001513AA">
      <w:pPr>
        <w:pStyle w:val="Sansinterligne"/>
        <w:tabs>
          <w:tab w:val="left" w:pos="2628"/>
        </w:tabs>
        <w:rPr>
          <w:rFonts w:ascii="Tahoma" w:hAnsi="Tahoma" w:cs="Tahoma"/>
          <w:b/>
          <w:kern w:val="28"/>
          <w:sz w:val="20"/>
          <w:szCs w:val="20"/>
        </w:rPr>
      </w:pPr>
    </w:p>
    <w:p w14:paraId="4DB4AA3D" w14:textId="77777777" w:rsidR="001513AA" w:rsidRPr="001513AA" w:rsidRDefault="001513AA" w:rsidP="001513AA">
      <w:pPr>
        <w:pStyle w:val="Sansinterligne"/>
        <w:tabs>
          <w:tab w:val="left" w:pos="2628"/>
        </w:tabs>
        <w:rPr>
          <w:rFonts w:ascii="Tahoma" w:hAnsi="Tahoma" w:cs="Tahoma"/>
          <w:b/>
          <w:kern w:val="28"/>
          <w:sz w:val="20"/>
          <w:szCs w:val="20"/>
        </w:rPr>
      </w:pPr>
    </w:p>
    <w:p w14:paraId="26F3B98F" w14:textId="77777777" w:rsidR="001513AA" w:rsidRPr="001513AA" w:rsidRDefault="001513AA" w:rsidP="001513AA">
      <w:pPr>
        <w:pStyle w:val="Sansinterligne"/>
        <w:tabs>
          <w:tab w:val="left" w:pos="2628"/>
        </w:tabs>
        <w:rPr>
          <w:rFonts w:ascii="Tahoma" w:hAnsi="Tahoma" w:cs="Tahoma"/>
          <w:b/>
          <w:kern w:val="28"/>
          <w:sz w:val="20"/>
          <w:szCs w:val="20"/>
        </w:rPr>
      </w:pPr>
    </w:p>
    <w:p w14:paraId="6F225CCB" w14:textId="77777777" w:rsidR="001513AA" w:rsidRPr="001513AA" w:rsidRDefault="001513AA" w:rsidP="001513AA">
      <w:pPr>
        <w:pStyle w:val="Sansinterligne"/>
        <w:tabs>
          <w:tab w:val="left" w:pos="2628"/>
        </w:tabs>
        <w:rPr>
          <w:rFonts w:ascii="Tahoma" w:hAnsi="Tahoma" w:cs="Tahoma"/>
          <w:b/>
          <w:kern w:val="28"/>
          <w:sz w:val="20"/>
          <w:szCs w:val="20"/>
        </w:rPr>
      </w:pPr>
    </w:p>
    <w:p w14:paraId="144EBA48" w14:textId="77777777" w:rsidR="001513AA" w:rsidRPr="001513AA" w:rsidRDefault="001513AA" w:rsidP="001513AA">
      <w:pPr>
        <w:pStyle w:val="Sansinterligne"/>
        <w:tabs>
          <w:tab w:val="left" w:leader="dot" w:pos="4962"/>
        </w:tabs>
        <w:rPr>
          <w:rFonts w:ascii="Tahoma" w:hAnsi="Tahoma" w:cs="Tahoma"/>
          <w:b/>
          <w:kern w:val="28"/>
          <w:sz w:val="20"/>
          <w:szCs w:val="20"/>
        </w:rPr>
      </w:pPr>
    </w:p>
    <w:p w14:paraId="2B4D0A3D" w14:textId="77777777" w:rsidR="001513AA" w:rsidRPr="001513AA" w:rsidRDefault="001513AA" w:rsidP="001513AA">
      <w:pPr>
        <w:pStyle w:val="Sansinterligne"/>
        <w:tabs>
          <w:tab w:val="left" w:leader="dot" w:pos="4962"/>
        </w:tabs>
        <w:rPr>
          <w:rFonts w:ascii="Tahoma" w:hAnsi="Tahoma" w:cs="Tahoma"/>
          <w:b/>
          <w:kern w:val="28"/>
          <w:sz w:val="20"/>
          <w:szCs w:val="20"/>
        </w:rPr>
      </w:pPr>
      <w:r w:rsidRPr="001513AA">
        <w:rPr>
          <w:rFonts w:ascii="Tahoma" w:hAnsi="Tahoma" w:cs="Tahoma"/>
          <w:b/>
          <w:kern w:val="28"/>
          <w:sz w:val="20"/>
          <w:szCs w:val="20"/>
        </w:rPr>
        <w:t>Madame/Monsieur le Maire/Président(e),</w:t>
      </w:r>
    </w:p>
    <w:p w14:paraId="458E94D6" w14:textId="77777777" w:rsidR="001513AA" w:rsidRPr="001513AA" w:rsidRDefault="001513AA" w:rsidP="001513AA">
      <w:pPr>
        <w:pStyle w:val="Sansinterligne"/>
        <w:tabs>
          <w:tab w:val="left" w:leader="dot" w:pos="4962"/>
        </w:tabs>
        <w:rPr>
          <w:rFonts w:ascii="Tahoma" w:hAnsi="Tahoma" w:cs="Tahoma"/>
          <w:kern w:val="28"/>
          <w:sz w:val="20"/>
          <w:szCs w:val="20"/>
        </w:rPr>
      </w:pPr>
    </w:p>
    <w:p w14:paraId="09F0A4F2" w14:textId="18491D5A" w:rsidR="001513AA" w:rsidRPr="001513AA" w:rsidRDefault="001513AA" w:rsidP="001513AA">
      <w:pPr>
        <w:pStyle w:val="Sansinterligne"/>
        <w:tabs>
          <w:tab w:val="left" w:leader="dot" w:pos="4962"/>
        </w:tabs>
        <w:rPr>
          <w:rFonts w:ascii="Tahoma" w:hAnsi="Tahoma" w:cs="Tahoma"/>
          <w:kern w:val="28"/>
          <w:sz w:val="20"/>
          <w:szCs w:val="20"/>
        </w:rPr>
      </w:pPr>
      <w:r w:rsidRPr="001513AA">
        <w:rPr>
          <w:rFonts w:ascii="Tahoma" w:hAnsi="Tahoma" w:cs="Tahoma"/>
          <w:kern w:val="28"/>
          <w:sz w:val="20"/>
          <w:szCs w:val="20"/>
        </w:rPr>
        <w:t>Invite l’assemblée délibérante à se prononcer favorablement sur l’adhésion de la collectivité/établissement à la procédure de médiation préalable obligatoire organisée par le Centre de Gestion d</w:t>
      </w:r>
      <w:r>
        <w:rPr>
          <w:rFonts w:ascii="Tahoma" w:hAnsi="Tahoma" w:cs="Tahoma"/>
          <w:kern w:val="28"/>
          <w:sz w:val="20"/>
          <w:szCs w:val="20"/>
        </w:rPr>
        <w:t>u Calvados</w:t>
      </w:r>
      <w:r w:rsidRPr="001513AA">
        <w:rPr>
          <w:rFonts w:ascii="Tahoma" w:hAnsi="Tahoma" w:cs="Tahoma"/>
          <w:kern w:val="28"/>
          <w:sz w:val="20"/>
          <w:szCs w:val="20"/>
        </w:rPr>
        <w:t>, eu égard aux avantages que pourrait présenter cette nouvelle procédure pour la collectivité, si un litige naissait entre un agent et la collectivité sur les thèmes concernés par l’expérimentation.</w:t>
      </w:r>
    </w:p>
    <w:p w14:paraId="6FF48B2A" w14:textId="77777777" w:rsidR="001513AA" w:rsidRPr="001513AA" w:rsidRDefault="001513AA" w:rsidP="001513AA">
      <w:pPr>
        <w:pStyle w:val="Sansinterligne"/>
        <w:tabs>
          <w:tab w:val="left" w:leader="dot" w:pos="4962"/>
        </w:tabs>
        <w:rPr>
          <w:rFonts w:ascii="Tahoma" w:hAnsi="Tahoma" w:cs="Tahoma"/>
          <w:kern w:val="28"/>
          <w:sz w:val="20"/>
          <w:szCs w:val="20"/>
        </w:rPr>
      </w:pPr>
    </w:p>
    <w:p w14:paraId="1C6403D1" w14:textId="77777777" w:rsidR="001513AA" w:rsidRPr="001513AA" w:rsidRDefault="001513AA" w:rsidP="001513AA">
      <w:pPr>
        <w:pStyle w:val="Sansinterligne"/>
        <w:tabs>
          <w:tab w:val="left" w:leader="dot" w:pos="4962"/>
        </w:tabs>
        <w:rPr>
          <w:rFonts w:ascii="Tahoma" w:hAnsi="Tahoma" w:cs="Tahoma"/>
          <w:kern w:val="28"/>
          <w:sz w:val="20"/>
          <w:szCs w:val="20"/>
        </w:rPr>
      </w:pPr>
      <w:r w:rsidRPr="001513AA">
        <w:rPr>
          <w:rFonts w:ascii="Tahoma" w:hAnsi="Tahoma" w:cs="Tahoma"/>
          <w:kern w:val="28"/>
          <w:sz w:val="20"/>
          <w:szCs w:val="20"/>
        </w:rPr>
        <w:t>Le conseil municipal/</w:t>
      </w:r>
      <w:r w:rsidRPr="001513AA">
        <w:rPr>
          <w:rFonts w:ascii="Tahoma" w:hAnsi="Tahoma" w:cs="Tahoma"/>
          <w:i/>
          <w:kern w:val="28"/>
          <w:sz w:val="20"/>
          <w:szCs w:val="20"/>
        </w:rPr>
        <w:t>d’administration / communautaire / syndical</w:t>
      </w:r>
      <w:r w:rsidRPr="001513AA">
        <w:rPr>
          <w:rFonts w:ascii="Tahoma" w:hAnsi="Tahoma" w:cs="Tahoma"/>
          <w:kern w:val="28"/>
          <w:sz w:val="20"/>
          <w:szCs w:val="20"/>
        </w:rPr>
        <w:t>, après avoir délibéré :</w:t>
      </w:r>
    </w:p>
    <w:p w14:paraId="43F33B46" w14:textId="77777777" w:rsidR="001513AA" w:rsidRPr="001513AA" w:rsidRDefault="001513AA" w:rsidP="001513AA">
      <w:pPr>
        <w:pStyle w:val="Sansinterligne"/>
        <w:tabs>
          <w:tab w:val="left" w:leader="dot" w:pos="4962"/>
        </w:tabs>
        <w:spacing w:line="276" w:lineRule="auto"/>
        <w:rPr>
          <w:rFonts w:ascii="Tahoma" w:hAnsi="Tahoma" w:cs="Tahoma"/>
          <w:kern w:val="28"/>
          <w:sz w:val="20"/>
          <w:szCs w:val="20"/>
        </w:rPr>
      </w:pPr>
    </w:p>
    <w:p w14:paraId="6535B7CE" w14:textId="77777777" w:rsidR="001513AA" w:rsidRPr="001513AA" w:rsidRDefault="001513AA" w:rsidP="001513AA">
      <w:pPr>
        <w:autoSpaceDE w:val="0"/>
        <w:autoSpaceDN w:val="0"/>
        <w:adjustRightInd w:val="0"/>
        <w:spacing w:after="0" w:line="240" w:lineRule="auto"/>
        <w:jc w:val="both"/>
        <w:rPr>
          <w:rFonts w:ascii="Tahoma" w:hAnsi="Tahoma" w:cs="Tahoma"/>
          <w:sz w:val="20"/>
          <w:szCs w:val="20"/>
        </w:rPr>
      </w:pPr>
      <w:r w:rsidRPr="001513AA">
        <w:rPr>
          <w:rFonts w:ascii="Tahoma" w:hAnsi="Tahoma" w:cs="Tahoma"/>
          <w:sz w:val="20"/>
          <w:szCs w:val="20"/>
        </w:rPr>
        <w:t>Vu le Code de Justice administrative,</w:t>
      </w:r>
    </w:p>
    <w:p w14:paraId="58D94FB2" w14:textId="038382CA" w:rsidR="001513AA" w:rsidRPr="001513AA" w:rsidRDefault="001513AA" w:rsidP="001513AA">
      <w:pPr>
        <w:autoSpaceDE w:val="0"/>
        <w:autoSpaceDN w:val="0"/>
        <w:adjustRightInd w:val="0"/>
        <w:spacing w:after="0" w:line="240" w:lineRule="auto"/>
        <w:jc w:val="both"/>
        <w:rPr>
          <w:rFonts w:ascii="Tahoma" w:hAnsi="Tahoma" w:cs="Tahoma"/>
          <w:sz w:val="20"/>
          <w:szCs w:val="20"/>
        </w:rPr>
      </w:pPr>
      <w:r w:rsidRPr="001513AA">
        <w:rPr>
          <w:rFonts w:ascii="Tahoma" w:hAnsi="Tahoma" w:cs="Tahoma"/>
          <w:sz w:val="20"/>
          <w:szCs w:val="20"/>
        </w:rPr>
        <w:t>Vu la Loi n°84-53 du 26 janvier 1984 portant dispositions statutaires relatives à la fonction publique territoriale et notamment son article 25-2,</w:t>
      </w:r>
    </w:p>
    <w:p w14:paraId="23D35527" w14:textId="673D3481" w:rsidR="001513AA" w:rsidRPr="001513AA" w:rsidRDefault="001513AA" w:rsidP="001513AA">
      <w:pPr>
        <w:autoSpaceDE w:val="0"/>
        <w:autoSpaceDN w:val="0"/>
        <w:adjustRightInd w:val="0"/>
        <w:spacing w:after="0" w:line="240" w:lineRule="auto"/>
        <w:jc w:val="both"/>
        <w:rPr>
          <w:rFonts w:ascii="Tahoma" w:hAnsi="Tahoma" w:cs="Tahoma"/>
          <w:sz w:val="20"/>
          <w:szCs w:val="20"/>
        </w:rPr>
      </w:pPr>
      <w:r w:rsidRPr="001513AA">
        <w:rPr>
          <w:rFonts w:ascii="Tahoma" w:hAnsi="Tahoma" w:cs="Tahoma"/>
          <w:sz w:val="20"/>
          <w:szCs w:val="20"/>
        </w:rPr>
        <w:t>Vu la Loi n°2016-1547 du 18 novembre 2016 de modernisation de la justice du XXIe siècle,</w:t>
      </w:r>
    </w:p>
    <w:p w14:paraId="7D768BCF" w14:textId="77777777" w:rsidR="001513AA" w:rsidRPr="001513AA" w:rsidRDefault="001513AA" w:rsidP="001513AA">
      <w:pPr>
        <w:autoSpaceDE w:val="0"/>
        <w:autoSpaceDN w:val="0"/>
        <w:adjustRightInd w:val="0"/>
        <w:spacing w:after="0" w:line="240" w:lineRule="auto"/>
        <w:jc w:val="both"/>
        <w:rPr>
          <w:rFonts w:ascii="Tahoma" w:hAnsi="Tahoma" w:cs="Tahoma"/>
          <w:sz w:val="20"/>
          <w:szCs w:val="20"/>
        </w:rPr>
      </w:pPr>
      <w:r w:rsidRPr="001513AA">
        <w:rPr>
          <w:rFonts w:ascii="Tahoma" w:hAnsi="Tahoma" w:cs="Tahoma"/>
          <w:sz w:val="20"/>
          <w:szCs w:val="20"/>
        </w:rPr>
        <w:t>Vu la loi n°2021-1729 du 22 décembre 2021 pour la confiance dans l’institution judiciaire,</w:t>
      </w:r>
    </w:p>
    <w:p w14:paraId="47DE91D0" w14:textId="77777777" w:rsidR="001513AA" w:rsidRPr="001513AA" w:rsidRDefault="001513AA" w:rsidP="001513AA">
      <w:pPr>
        <w:autoSpaceDE w:val="0"/>
        <w:autoSpaceDN w:val="0"/>
        <w:adjustRightInd w:val="0"/>
        <w:spacing w:after="0" w:line="240" w:lineRule="auto"/>
        <w:jc w:val="both"/>
        <w:rPr>
          <w:rFonts w:ascii="Tahoma" w:hAnsi="Tahoma" w:cs="Tahoma"/>
          <w:sz w:val="20"/>
          <w:szCs w:val="20"/>
        </w:rPr>
      </w:pPr>
      <w:r w:rsidRPr="001513AA">
        <w:rPr>
          <w:rFonts w:ascii="Tahoma" w:hAnsi="Tahoma" w:cs="Tahoma"/>
          <w:sz w:val="20"/>
          <w:szCs w:val="20"/>
        </w:rPr>
        <w:t>Vu le décret n°2022-433 du 25 mars 2022 relatif à la procédure de médiation préalable obligatoire applicable à certains litiges de la fonction publique et à certains litiges sociaux,</w:t>
      </w:r>
    </w:p>
    <w:p w14:paraId="408CBE17" w14:textId="7FF07EB6" w:rsidR="001513AA" w:rsidRPr="001513AA" w:rsidRDefault="001513AA" w:rsidP="001513AA">
      <w:pPr>
        <w:autoSpaceDE w:val="0"/>
        <w:autoSpaceDN w:val="0"/>
        <w:adjustRightInd w:val="0"/>
        <w:spacing w:after="0" w:line="240" w:lineRule="auto"/>
        <w:jc w:val="both"/>
        <w:rPr>
          <w:rFonts w:ascii="Tahoma" w:hAnsi="Tahoma" w:cs="Tahoma"/>
          <w:sz w:val="20"/>
          <w:szCs w:val="20"/>
        </w:rPr>
      </w:pPr>
      <w:r w:rsidRPr="001513AA">
        <w:rPr>
          <w:rFonts w:ascii="Tahoma" w:hAnsi="Tahoma" w:cs="Tahoma"/>
          <w:sz w:val="20"/>
          <w:szCs w:val="20"/>
        </w:rPr>
        <w:t>Vu l</w:t>
      </w:r>
      <w:r w:rsidR="00C84162">
        <w:rPr>
          <w:rFonts w:ascii="Tahoma" w:hAnsi="Tahoma" w:cs="Tahoma"/>
          <w:sz w:val="20"/>
          <w:szCs w:val="20"/>
        </w:rPr>
        <w:t>a</w:t>
      </w:r>
      <w:r w:rsidRPr="001513AA">
        <w:rPr>
          <w:rFonts w:ascii="Tahoma" w:hAnsi="Tahoma" w:cs="Tahoma"/>
          <w:sz w:val="20"/>
          <w:szCs w:val="20"/>
        </w:rPr>
        <w:t xml:space="preserve"> délibération n° </w:t>
      </w:r>
      <w:r w:rsidR="00C84162">
        <w:rPr>
          <w:rFonts w:ascii="Tahoma" w:hAnsi="Tahoma" w:cs="Tahoma"/>
          <w:sz w:val="20"/>
          <w:szCs w:val="20"/>
        </w:rPr>
        <w:t>……</w:t>
      </w:r>
      <w:r w:rsidRPr="001513AA">
        <w:rPr>
          <w:rFonts w:ascii="Tahoma" w:hAnsi="Tahoma" w:cs="Tahoma"/>
          <w:sz w:val="20"/>
          <w:szCs w:val="20"/>
        </w:rPr>
        <w:t xml:space="preserve"> autorisant l</w:t>
      </w:r>
      <w:r w:rsidR="00C84162">
        <w:rPr>
          <w:rFonts w:ascii="Tahoma" w:hAnsi="Tahoma" w:cs="Tahoma"/>
          <w:sz w:val="20"/>
          <w:szCs w:val="20"/>
        </w:rPr>
        <w:t>e</w:t>
      </w:r>
      <w:r w:rsidRPr="001513AA">
        <w:rPr>
          <w:rFonts w:ascii="Tahoma" w:hAnsi="Tahoma" w:cs="Tahoma"/>
          <w:sz w:val="20"/>
          <w:szCs w:val="20"/>
        </w:rPr>
        <w:t xml:space="preserve"> Président du Centre de Gestion d</w:t>
      </w:r>
      <w:r w:rsidR="00C84162">
        <w:rPr>
          <w:rFonts w:ascii="Tahoma" w:hAnsi="Tahoma" w:cs="Tahoma"/>
          <w:sz w:val="20"/>
          <w:szCs w:val="20"/>
        </w:rPr>
        <w:t>u Calvados</w:t>
      </w:r>
      <w:r w:rsidRPr="001513AA">
        <w:rPr>
          <w:rFonts w:ascii="Tahoma" w:hAnsi="Tahoma" w:cs="Tahoma"/>
          <w:sz w:val="20"/>
          <w:szCs w:val="20"/>
        </w:rPr>
        <w:t xml:space="preserve"> à signer la présente convention </w:t>
      </w:r>
      <w:r w:rsidR="00C84162">
        <w:rPr>
          <w:rFonts w:ascii="Tahoma" w:hAnsi="Tahoma" w:cs="Tahoma"/>
          <w:sz w:val="20"/>
          <w:szCs w:val="20"/>
        </w:rPr>
        <w:t>relative à la mise en œuvre de</w:t>
      </w:r>
      <w:r w:rsidRPr="001513AA">
        <w:rPr>
          <w:rFonts w:ascii="Tahoma" w:hAnsi="Tahoma" w:cs="Tahoma"/>
          <w:sz w:val="20"/>
          <w:szCs w:val="20"/>
        </w:rPr>
        <w:t xml:space="preserve"> la médiation préalable obligatoire,</w:t>
      </w:r>
    </w:p>
    <w:p w14:paraId="726556EA" w14:textId="77777777" w:rsidR="001513AA" w:rsidRPr="001513AA" w:rsidRDefault="001513AA" w:rsidP="001513AA">
      <w:pPr>
        <w:pStyle w:val="Sansinterligne"/>
        <w:spacing w:line="276" w:lineRule="auto"/>
        <w:rPr>
          <w:rFonts w:ascii="Tahoma" w:hAnsi="Tahoma" w:cs="Tahoma"/>
          <w:kern w:val="28"/>
          <w:sz w:val="20"/>
          <w:szCs w:val="20"/>
        </w:rPr>
      </w:pPr>
    </w:p>
    <w:p w14:paraId="34C431B0" w14:textId="77777777" w:rsidR="001513AA" w:rsidRPr="001513AA" w:rsidRDefault="001513AA" w:rsidP="001513AA">
      <w:pPr>
        <w:pStyle w:val="Sansinterligne"/>
        <w:rPr>
          <w:rFonts w:ascii="Tahoma" w:hAnsi="Tahoma" w:cs="Tahoma"/>
          <w:kern w:val="28"/>
          <w:sz w:val="20"/>
          <w:szCs w:val="20"/>
        </w:rPr>
      </w:pPr>
      <w:r w:rsidRPr="001513AA">
        <w:rPr>
          <w:rFonts w:ascii="Tahoma" w:hAnsi="Tahoma" w:cs="Tahoma"/>
          <w:kern w:val="28"/>
          <w:sz w:val="20"/>
          <w:szCs w:val="20"/>
        </w:rPr>
        <w:t>Considérant l’intérêt pour la collectivité d’adhérer à la procédure au regard de l’objet et des modalités proposées,</w:t>
      </w:r>
    </w:p>
    <w:p w14:paraId="65B30F51" w14:textId="77777777" w:rsidR="001513AA" w:rsidRPr="001513AA" w:rsidRDefault="001513AA" w:rsidP="001513AA">
      <w:pPr>
        <w:pStyle w:val="Sansinterligne"/>
        <w:tabs>
          <w:tab w:val="left" w:leader="dot" w:pos="4962"/>
        </w:tabs>
        <w:rPr>
          <w:rFonts w:ascii="Tahoma" w:hAnsi="Tahoma" w:cs="Tahoma"/>
          <w:b/>
          <w:kern w:val="28"/>
          <w:sz w:val="20"/>
          <w:szCs w:val="20"/>
        </w:rPr>
      </w:pPr>
    </w:p>
    <w:p w14:paraId="215F8339" w14:textId="77777777" w:rsidR="001513AA" w:rsidRPr="001513AA" w:rsidRDefault="001513AA" w:rsidP="001513AA">
      <w:pPr>
        <w:pStyle w:val="Sansinterligne"/>
        <w:tabs>
          <w:tab w:val="left" w:leader="dot" w:pos="4962"/>
        </w:tabs>
        <w:rPr>
          <w:rFonts w:ascii="Tahoma" w:hAnsi="Tahoma" w:cs="Tahoma"/>
          <w:kern w:val="28"/>
          <w:sz w:val="20"/>
          <w:szCs w:val="20"/>
        </w:rPr>
      </w:pPr>
      <w:r w:rsidRPr="001513AA">
        <w:rPr>
          <w:rFonts w:ascii="Tahoma" w:hAnsi="Tahoma" w:cs="Tahoma"/>
          <w:b/>
          <w:kern w:val="28"/>
          <w:sz w:val="20"/>
          <w:szCs w:val="20"/>
        </w:rPr>
        <w:t>DECIDE</w:t>
      </w:r>
      <w:r w:rsidRPr="001513AA">
        <w:rPr>
          <w:rFonts w:ascii="Tahoma" w:hAnsi="Tahoma" w:cs="Tahoma"/>
          <w:kern w:val="28"/>
          <w:sz w:val="20"/>
          <w:szCs w:val="20"/>
        </w:rPr>
        <w:t xml:space="preserve"> d’adhérer à la procédure de médiation préalable obligatoire pour les litiges concernés.</w:t>
      </w:r>
    </w:p>
    <w:p w14:paraId="6839F1A7" w14:textId="77777777" w:rsidR="001513AA" w:rsidRPr="001513AA" w:rsidRDefault="001513AA" w:rsidP="001513AA">
      <w:pPr>
        <w:pStyle w:val="Sansinterligne"/>
        <w:tabs>
          <w:tab w:val="left" w:leader="dot" w:pos="4962"/>
        </w:tabs>
        <w:rPr>
          <w:rFonts w:ascii="Tahoma" w:hAnsi="Tahoma" w:cs="Tahoma"/>
          <w:kern w:val="28"/>
          <w:sz w:val="20"/>
          <w:szCs w:val="20"/>
        </w:rPr>
      </w:pPr>
    </w:p>
    <w:p w14:paraId="11F88C9B" w14:textId="7AD95713" w:rsidR="001513AA" w:rsidRPr="001513AA" w:rsidRDefault="001513AA" w:rsidP="001513AA">
      <w:pPr>
        <w:pStyle w:val="Sansinterligne"/>
        <w:tabs>
          <w:tab w:val="left" w:leader="dot" w:pos="4962"/>
        </w:tabs>
        <w:rPr>
          <w:rFonts w:ascii="Tahoma" w:hAnsi="Tahoma" w:cs="Tahoma"/>
          <w:kern w:val="28"/>
          <w:sz w:val="20"/>
          <w:szCs w:val="20"/>
        </w:rPr>
      </w:pPr>
      <w:r w:rsidRPr="001513AA">
        <w:rPr>
          <w:rFonts w:ascii="Tahoma" w:hAnsi="Tahoma" w:cs="Tahoma"/>
          <w:b/>
          <w:kern w:val="28"/>
          <w:sz w:val="20"/>
          <w:szCs w:val="20"/>
        </w:rPr>
        <w:t>APPROUVE</w:t>
      </w:r>
      <w:r w:rsidRPr="001513AA">
        <w:rPr>
          <w:rFonts w:ascii="Tahoma" w:hAnsi="Tahoma" w:cs="Tahoma"/>
          <w:kern w:val="28"/>
          <w:sz w:val="20"/>
          <w:szCs w:val="20"/>
        </w:rPr>
        <w:t xml:space="preserve"> la convention à conclure avec le </w:t>
      </w:r>
      <w:r w:rsidR="00C84162" w:rsidRPr="001513AA">
        <w:rPr>
          <w:rFonts w:ascii="Tahoma" w:hAnsi="Tahoma" w:cs="Tahoma"/>
          <w:sz w:val="20"/>
          <w:szCs w:val="20"/>
        </w:rPr>
        <w:t>Centre de Gestion d</w:t>
      </w:r>
      <w:r w:rsidR="00C84162">
        <w:rPr>
          <w:rFonts w:ascii="Tahoma" w:hAnsi="Tahoma" w:cs="Tahoma"/>
          <w:sz w:val="20"/>
          <w:szCs w:val="20"/>
        </w:rPr>
        <w:t>u Calvados</w:t>
      </w:r>
      <w:r w:rsidRPr="001513AA">
        <w:rPr>
          <w:rFonts w:ascii="Tahoma" w:hAnsi="Tahoma" w:cs="Tahoma"/>
          <w:kern w:val="28"/>
          <w:sz w:val="20"/>
          <w:szCs w:val="20"/>
        </w:rPr>
        <w:t>, qui concernera les litiges portant sur des décisions nées à compter du …</w:t>
      </w:r>
      <w:proofErr w:type="gramStart"/>
      <w:r w:rsidRPr="001513AA">
        <w:rPr>
          <w:rFonts w:ascii="Tahoma" w:hAnsi="Tahoma" w:cs="Tahoma"/>
          <w:kern w:val="28"/>
          <w:sz w:val="20"/>
          <w:szCs w:val="20"/>
        </w:rPr>
        <w:t>…….</w:t>
      </w:r>
      <w:proofErr w:type="gramEnd"/>
      <w:r w:rsidRPr="001513AA">
        <w:rPr>
          <w:rFonts w:ascii="Tahoma" w:hAnsi="Tahoma" w:cs="Tahoma"/>
          <w:kern w:val="28"/>
          <w:sz w:val="20"/>
          <w:szCs w:val="20"/>
        </w:rPr>
        <w:t>.</w:t>
      </w:r>
      <w:r w:rsidRPr="001513AA">
        <w:rPr>
          <w:rFonts w:ascii="Tahoma" w:hAnsi="Tahoma" w:cs="Tahoma"/>
          <w:color w:val="1F497D"/>
          <w:sz w:val="20"/>
          <w:szCs w:val="20"/>
        </w:rPr>
        <w:t xml:space="preserve">, </w:t>
      </w:r>
      <w:r w:rsidRPr="001513AA">
        <w:rPr>
          <w:rFonts w:ascii="Tahoma" w:hAnsi="Tahoma" w:cs="Tahoma"/>
          <w:sz w:val="20"/>
          <w:szCs w:val="20"/>
        </w:rPr>
        <w:t>sous réserve d’une saisine du médiateur dans le délai de recours contentieux.</w:t>
      </w:r>
    </w:p>
    <w:p w14:paraId="0736D03B" w14:textId="77777777" w:rsidR="001513AA" w:rsidRPr="001513AA" w:rsidRDefault="001513AA" w:rsidP="001513AA">
      <w:pPr>
        <w:pStyle w:val="Sansinterligne"/>
        <w:tabs>
          <w:tab w:val="left" w:leader="dot" w:pos="4962"/>
        </w:tabs>
        <w:rPr>
          <w:rFonts w:ascii="Tahoma" w:hAnsi="Tahoma" w:cs="Tahoma"/>
          <w:kern w:val="28"/>
          <w:sz w:val="20"/>
          <w:szCs w:val="20"/>
        </w:rPr>
      </w:pPr>
    </w:p>
    <w:p w14:paraId="5CDF2A91" w14:textId="6BC6EA4F" w:rsidR="001513AA" w:rsidRPr="001513AA" w:rsidRDefault="001513AA" w:rsidP="001513AA">
      <w:pPr>
        <w:pStyle w:val="Sansinterligne"/>
        <w:tabs>
          <w:tab w:val="left" w:leader="dot" w:pos="4962"/>
        </w:tabs>
        <w:rPr>
          <w:rFonts w:ascii="Tahoma" w:hAnsi="Tahoma" w:cs="Tahoma"/>
          <w:kern w:val="28"/>
          <w:sz w:val="20"/>
          <w:szCs w:val="20"/>
        </w:rPr>
      </w:pPr>
      <w:r w:rsidRPr="001513AA">
        <w:rPr>
          <w:rFonts w:ascii="Tahoma" w:hAnsi="Tahoma" w:cs="Tahoma"/>
          <w:b/>
          <w:kern w:val="28"/>
          <w:sz w:val="20"/>
          <w:szCs w:val="20"/>
        </w:rPr>
        <w:t>AUTORISE</w:t>
      </w:r>
      <w:r w:rsidRPr="001513AA">
        <w:rPr>
          <w:rFonts w:ascii="Tahoma" w:hAnsi="Tahoma" w:cs="Tahoma"/>
          <w:kern w:val="28"/>
          <w:sz w:val="20"/>
          <w:szCs w:val="20"/>
        </w:rPr>
        <w:t xml:space="preserve"> </w:t>
      </w:r>
      <w:r w:rsidRPr="00F8096E">
        <w:rPr>
          <w:rFonts w:ascii="Tahoma" w:hAnsi="Tahoma" w:cs="Tahoma"/>
          <w:kern w:val="28"/>
          <w:sz w:val="20"/>
          <w:szCs w:val="20"/>
        </w:rPr>
        <w:t>Madame/Monsieur le Maire/Président(e) à</w:t>
      </w:r>
      <w:r w:rsidRPr="001513AA">
        <w:rPr>
          <w:rFonts w:ascii="Tahoma" w:hAnsi="Tahoma" w:cs="Tahoma"/>
          <w:kern w:val="28"/>
          <w:sz w:val="20"/>
          <w:szCs w:val="20"/>
        </w:rPr>
        <w:t xml:space="preserve"> signer cette convention qui sera transmis par le Centre de gestion </w:t>
      </w:r>
      <w:r>
        <w:rPr>
          <w:rFonts w:ascii="Tahoma" w:hAnsi="Tahoma" w:cs="Tahoma"/>
          <w:kern w:val="28"/>
          <w:sz w:val="20"/>
          <w:szCs w:val="20"/>
        </w:rPr>
        <w:t>du Calvados,</w:t>
      </w:r>
      <w:r w:rsidRPr="001513AA">
        <w:rPr>
          <w:rFonts w:ascii="Tahoma" w:hAnsi="Tahoma" w:cs="Tahoma"/>
          <w:kern w:val="28"/>
          <w:sz w:val="20"/>
          <w:szCs w:val="20"/>
        </w:rPr>
        <w:t xml:space="preserve"> pour information au tribunal administratif de </w:t>
      </w:r>
      <w:r>
        <w:rPr>
          <w:rFonts w:ascii="Tahoma" w:hAnsi="Tahoma" w:cs="Tahoma"/>
          <w:kern w:val="28"/>
          <w:sz w:val="20"/>
          <w:szCs w:val="20"/>
        </w:rPr>
        <w:t>Caen</w:t>
      </w:r>
      <w:r w:rsidRPr="001513AA">
        <w:rPr>
          <w:rFonts w:ascii="Tahoma" w:hAnsi="Tahoma" w:cs="Tahoma"/>
          <w:kern w:val="28"/>
          <w:sz w:val="20"/>
          <w:szCs w:val="20"/>
        </w:rPr>
        <w:t xml:space="preserve"> et à la Cour Administrative de N</w:t>
      </w:r>
      <w:r>
        <w:rPr>
          <w:rFonts w:ascii="Tahoma" w:hAnsi="Tahoma" w:cs="Tahoma"/>
          <w:kern w:val="28"/>
          <w:sz w:val="20"/>
          <w:szCs w:val="20"/>
        </w:rPr>
        <w:t>antes</w:t>
      </w:r>
      <w:r w:rsidRPr="001513AA">
        <w:rPr>
          <w:rFonts w:ascii="Tahoma" w:hAnsi="Tahoma" w:cs="Tahoma"/>
          <w:kern w:val="28"/>
          <w:sz w:val="20"/>
          <w:szCs w:val="20"/>
        </w:rPr>
        <w:t>.</w:t>
      </w:r>
    </w:p>
    <w:p w14:paraId="7870F349" w14:textId="77777777" w:rsidR="001513AA" w:rsidRPr="001513AA" w:rsidRDefault="001513AA" w:rsidP="001513AA">
      <w:pPr>
        <w:pStyle w:val="Corpsdetexte"/>
        <w:jc w:val="left"/>
        <w:rPr>
          <w:rFonts w:ascii="Tahoma" w:hAnsi="Tahoma" w:cs="Tahoma"/>
          <w:b/>
          <w:sz w:val="20"/>
        </w:rPr>
      </w:pPr>
    </w:p>
    <w:p w14:paraId="203225F7" w14:textId="77777777" w:rsidR="001513AA" w:rsidRPr="001513AA" w:rsidRDefault="001513AA" w:rsidP="001513AA">
      <w:pPr>
        <w:pStyle w:val="Sansinterligne"/>
        <w:tabs>
          <w:tab w:val="left" w:leader="dot" w:pos="4962"/>
        </w:tabs>
        <w:rPr>
          <w:rFonts w:ascii="Tahoma" w:hAnsi="Tahoma" w:cs="Tahoma"/>
          <w:b/>
          <w:kern w:val="28"/>
          <w:sz w:val="20"/>
          <w:szCs w:val="20"/>
        </w:rPr>
      </w:pPr>
      <w:r w:rsidRPr="001513AA">
        <w:rPr>
          <w:rFonts w:ascii="Tahoma" w:hAnsi="Tahoma" w:cs="Tahoma"/>
          <w:b/>
          <w:kern w:val="28"/>
          <w:sz w:val="20"/>
          <w:szCs w:val="20"/>
        </w:rPr>
        <w:t>Madame/Monsieur le Maire/Président(e),</w:t>
      </w:r>
    </w:p>
    <w:p w14:paraId="3EE744AE" w14:textId="77777777" w:rsidR="001513AA" w:rsidRPr="001513AA" w:rsidRDefault="001513AA" w:rsidP="001513AA">
      <w:pPr>
        <w:pStyle w:val="Corpsdetexte"/>
        <w:rPr>
          <w:rFonts w:ascii="Tahoma" w:hAnsi="Tahoma" w:cs="Tahoma"/>
          <w:sz w:val="20"/>
        </w:rPr>
      </w:pPr>
      <w:r w:rsidRPr="001513AA">
        <w:rPr>
          <w:rFonts w:ascii="Tahoma" w:hAnsi="Tahoma" w:cs="Tahoma"/>
          <w:sz w:val="20"/>
        </w:rPr>
        <w:t>- certifie sous sa responsabilité le caractère exécutoire de cet acte,</w:t>
      </w:r>
    </w:p>
    <w:p w14:paraId="494299C8" w14:textId="77777777" w:rsidR="001513AA" w:rsidRPr="001513AA" w:rsidRDefault="001513AA" w:rsidP="001513AA">
      <w:pPr>
        <w:pStyle w:val="Corpsdetexte"/>
        <w:rPr>
          <w:rFonts w:ascii="Tahoma" w:hAnsi="Tahoma" w:cs="Tahoma"/>
          <w:sz w:val="20"/>
        </w:rPr>
      </w:pPr>
      <w:r w:rsidRPr="001513AA">
        <w:rPr>
          <w:rFonts w:ascii="Tahoma" w:hAnsi="Tahoma" w:cs="Tahoma"/>
          <w:sz w:val="20"/>
        </w:rPr>
        <w:t>- informe que la présente délibération peut faire l’objet d’un recours pour excès de pouvoir devant le Tribunal Administratif dans un délai de 2 mois à compter de sa notification, sa réception par le représentant de l’Etat et sa publication.</w:t>
      </w:r>
    </w:p>
    <w:p w14:paraId="1B126DF1" w14:textId="77777777" w:rsidR="001513AA" w:rsidRPr="001513AA" w:rsidRDefault="001513AA" w:rsidP="001513AA">
      <w:pPr>
        <w:pStyle w:val="Corpsdetexte"/>
        <w:jc w:val="left"/>
        <w:rPr>
          <w:rFonts w:ascii="Tahoma" w:hAnsi="Tahoma" w:cs="Tahoma"/>
          <w:sz w:val="20"/>
        </w:rPr>
      </w:pPr>
    </w:p>
    <w:p w14:paraId="2D1079B0" w14:textId="77777777" w:rsidR="001513AA" w:rsidRPr="001513AA" w:rsidRDefault="001513AA" w:rsidP="001513AA">
      <w:pPr>
        <w:pStyle w:val="Corpsdetexte"/>
        <w:jc w:val="left"/>
        <w:rPr>
          <w:rFonts w:ascii="Tahoma" w:hAnsi="Tahoma" w:cs="Tahoma"/>
          <w:sz w:val="20"/>
        </w:rPr>
      </w:pPr>
    </w:p>
    <w:p w14:paraId="6C19252F" w14:textId="77777777" w:rsidR="001513AA" w:rsidRPr="001513AA" w:rsidRDefault="001513AA" w:rsidP="001513AA">
      <w:pPr>
        <w:pStyle w:val="Corpsdetexte"/>
        <w:ind w:left="4536"/>
        <w:jc w:val="left"/>
        <w:rPr>
          <w:rFonts w:ascii="Tahoma" w:hAnsi="Tahoma" w:cs="Tahoma"/>
          <w:sz w:val="20"/>
        </w:rPr>
      </w:pPr>
      <w:r w:rsidRPr="001513AA">
        <w:rPr>
          <w:rFonts w:ascii="Tahoma" w:hAnsi="Tahoma" w:cs="Tahoma"/>
          <w:sz w:val="20"/>
        </w:rPr>
        <w:t>Fait à …………………………,</w:t>
      </w:r>
    </w:p>
    <w:p w14:paraId="1BB46A85" w14:textId="77777777" w:rsidR="001513AA" w:rsidRPr="001513AA" w:rsidRDefault="001513AA" w:rsidP="001513AA">
      <w:pPr>
        <w:pStyle w:val="Corpsdetexte"/>
        <w:ind w:left="4536"/>
        <w:jc w:val="left"/>
        <w:rPr>
          <w:rFonts w:ascii="Tahoma" w:hAnsi="Tahoma" w:cs="Tahoma"/>
          <w:sz w:val="20"/>
        </w:rPr>
      </w:pPr>
      <w:r w:rsidRPr="001513AA">
        <w:rPr>
          <w:rFonts w:ascii="Tahoma" w:hAnsi="Tahoma" w:cs="Tahoma"/>
          <w:sz w:val="20"/>
        </w:rPr>
        <w:t xml:space="preserve">Le ………………………………, </w:t>
      </w:r>
    </w:p>
    <w:p w14:paraId="73674043" w14:textId="77777777" w:rsidR="001513AA" w:rsidRPr="001513AA" w:rsidRDefault="001513AA" w:rsidP="001513AA">
      <w:pPr>
        <w:pStyle w:val="Corpsdetexte"/>
        <w:ind w:left="4536"/>
        <w:jc w:val="left"/>
        <w:rPr>
          <w:rFonts w:ascii="Tahoma" w:hAnsi="Tahoma" w:cs="Tahoma"/>
          <w:sz w:val="20"/>
        </w:rPr>
      </w:pPr>
    </w:p>
    <w:p w14:paraId="5B194346" w14:textId="77777777" w:rsidR="001513AA" w:rsidRPr="001513AA" w:rsidRDefault="001513AA" w:rsidP="001513AA">
      <w:pPr>
        <w:pStyle w:val="Corpsdetexte"/>
        <w:ind w:left="4536"/>
        <w:jc w:val="left"/>
        <w:rPr>
          <w:rFonts w:ascii="Tahoma" w:hAnsi="Tahoma" w:cs="Tahoma"/>
          <w:sz w:val="20"/>
        </w:rPr>
      </w:pPr>
    </w:p>
    <w:p w14:paraId="7336B4DC" w14:textId="77777777" w:rsidR="001513AA" w:rsidRPr="001513AA" w:rsidRDefault="001513AA" w:rsidP="001513AA">
      <w:pPr>
        <w:pStyle w:val="Corpsdetexte"/>
        <w:ind w:left="4536"/>
        <w:jc w:val="left"/>
        <w:rPr>
          <w:rFonts w:ascii="Tahoma" w:hAnsi="Tahoma" w:cs="Tahoma"/>
          <w:sz w:val="20"/>
        </w:rPr>
      </w:pPr>
    </w:p>
    <w:p w14:paraId="14C5535C" w14:textId="77777777" w:rsidR="001513AA" w:rsidRPr="001513AA" w:rsidRDefault="001513AA" w:rsidP="001513AA">
      <w:pPr>
        <w:pStyle w:val="Corpsdetexte"/>
        <w:ind w:left="4536"/>
        <w:jc w:val="left"/>
        <w:rPr>
          <w:rFonts w:ascii="Tahoma" w:hAnsi="Tahoma" w:cs="Tahoma"/>
          <w:sz w:val="20"/>
        </w:rPr>
      </w:pPr>
    </w:p>
    <w:p w14:paraId="711BB893" w14:textId="77777777" w:rsidR="001513AA" w:rsidRPr="001513AA" w:rsidRDefault="001513AA" w:rsidP="001513AA">
      <w:pPr>
        <w:pStyle w:val="Corpsdetexte"/>
        <w:ind w:left="4536"/>
        <w:jc w:val="left"/>
        <w:rPr>
          <w:rFonts w:ascii="Tahoma" w:hAnsi="Tahoma" w:cs="Tahoma"/>
          <w:sz w:val="20"/>
        </w:rPr>
      </w:pPr>
    </w:p>
    <w:p w14:paraId="4F84DC88" w14:textId="77777777" w:rsidR="001513AA" w:rsidRPr="001513AA" w:rsidRDefault="001513AA" w:rsidP="001513AA">
      <w:pPr>
        <w:pStyle w:val="Corpsdetexte"/>
        <w:ind w:left="4536"/>
        <w:jc w:val="left"/>
        <w:rPr>
          <w:rFonts w:ascii="Tahoma" w:hAnsi="Tahoma" w:cs="Tahoma"/>
          <w:sz w:val="20"/>
        </w:rPr>
      </w:pPr>
      <w:r w:rsidRPr="001513AA">
        <w:rPr>
          <w:rFonts w:ascii="Tahoma" w:hAnsi="Tahoma" w:cs="Tahoma"/>
          <w:sz w:val="20"/>
        </w:rPr>
        <w:t xml:space="preserve">Le Maire/Président(e) </w:t>
      </w:r>
      <w:r w:rsidRPr="001513AA">
        <w:rPr>
          <w:rFonts w:ascii="Tahoma" w:hAnsi="Tahoma" w:cs="Tahoma"/>
          <w:sz w:val="20"/>
        </w:rPr>
        <w:tab/>
      </w:r>
    </w:p>
    <w:p w14:paraId="6BDEDBF7" w14:textId="60E15505" w:rsidR="001513AA" w:rsidRDefault="001513AA" w:rsidP="00C84162">
      <w:pPr>
        <w:pStyle w:val="Corpsdetexte"/>
        <w:ind w:left="4536"/>
        <w:jc w:val="left"/>
        <w:rPr>
          <w:rFonts w:ascii="Tahoma" w:hAnsi="Tahoma" w:cs="Tahoma"/>
          <w:sz w:val="20"/>
        </w:rPr>
      </w:pPr>
      <w:r w:rsidRPr="001513AA">
        <w:rPr>
          <w:rFonts w:ascii="Tahoma" w:hAnsi="Tahoma" w:cs="Tahoma"/>
          <w:sz w:val="20"/>
        </w:rPr>
        <w:t>M./Mme ………………………………</w:t>
      </w:r>
    </w:p>
    <w:p w14:paraId="3F87988D" w14:textId="4FF43D1A" w:rsidR="00C84162" w:rsidRPr="00C84162" w:rsidRDefault="00C84162" w:rsidP="00C84162">
      <w:pPr>
        <w:tabs>
          <w:tab w:val="left" w:pos="1670"/>
        </w:tabs>
        <w:rPr>
          <w:lang w:eastAsia="fr-FR"/>
        </w:rPr>
      </w:pPr>
      <w:r>
        <w:rPr>
          <w:lang w:eastAsia="fr-FR"/>
        </w:rPr>
        <w:tab/>
      </w:r>
    </w:p>
    <w:sectPr w:rsidR="00C84162" w:rsidRPr="00C84162" w:rsidSect="00C84162">
      <w:footerReference w:type="default" r:id="rId6"/>
      <w:pgSz w:w="11906" w:h="16838"/>
      <w:pgMar w:top="851" w:right="1417" w:bottom="1417" w:left="1417" w:header="708"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A713" w14:textId="77777777" w:rsidR="00C84162" w:rsidRDefault="00C84162" w:rsidP="00C84162">
      <w:pPr>
        <w:spacing w:after="0" w:line="240" w:lineRule="auto"/>
      </w:pPr>
      <w:r>
        <w:separator/>
      </w:r>
    </w:p>
  </w:endnote>
  <w:endnote w:type="continuationSeparator" w:id="0">
    <w:p w14:paraId="38578937" w14:textId="77777777" w:rsidR="00C84162" w:rsidRDefault="00C84162" w:rsidP="00C8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0BE8" w14:textId="38C35BA1" w:rsidR="00C84162" w:rsidRPr="00C84162" w:rsidRDefault="00C84162" w:rsidP="00C84162">
    <w:pPr>
      <w:pStyle w:val="Pieddepage"/>
      <w:jc w:val="center"/>
      <w:rPr>
        <w:rFonts w:ascii="Tahoma" w:hAnsi="Tahoma" w:cs="Tahoma"/>
        <w:caps/>
        <w:sz w:val="20"/>
        <w:szCs w:val="20"/>
      </w:rPr>
    </w:pPr>
    <w:r w:rsidRPr="00C84162">
      <w:rPr>
        <w:rFonts w:ascii="Tahoma" w:hAnsi="Tahoma" w:cs="Tahoma"/>
        <w:caps/>
        <w:sz w:val="20"/>
        <w:szCs w:val="20"/>
      </w:rPr>
      <w:fldChar w:fldCharType="begin"/>
    </w:r>
    <w:r w:rsidRPr="00C84162">
      <w:rPr>
        <w:rFonts w:ascii="Tahoma" w:hAnsi="Tahoma" w:cs="Tahoma"/>
        <w:caps/>
        <w:sz w:val="20"/>
        <w:szCs w:val="20"/>
      </w:rPr>
      <w:instrText>PAGE   \* MERGEFORMAT</w:instrText>
    </w:r>
    <w:r w:rsidRPr="00C84162">
      <w:rPr>
        <w:rFonts w:ascii="Tahoma" w:hAnsi="Tahoma" w:cs="Tahoma"/>
        <w:caps/>
        <w:sz w:val="20"/>
        <w:szCs w:val="20"/>
      </w:rPr>
      <w:fldChar w:fldCharType="separate"/>
    </w:r>
    <w:r w:rsidRPr="00C84162">
      <w:rPr>
        <w:rFonts w:ascii="Tahoma" w:hAnsi="Tahoma" w:cs="Tahoma"/>
        <w:caps/>
        <w:sz w:val="20"/>
        <w:szCs w:val="20"/>
      </w:rPr>
      <w:t>2</w:t>
    </w:r>
    <w:r w:rsidRPr="00C84162">
      <w:rPr>
        <w:rFonts w:ascii="Tahoma" w:hAnsi="Tahoma" w:cs="Tahoma"/>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9CC80" w14:textId="77777777" w:rsidR="00C84162" w:rsidRDefault="00C84162" w:rsidP="00C84162">
      <w:pPr>
        <w:spacing w:after="0" w:line="240" w:lineRule="auto"/>
      </w:pPr>
      <w:r>
        <w:separator/>
      </w:r>
    </w:p>
  </w:footnote>
  <w:footnote w:type="continuationSeparator" w:id="0">
    <w:p w14:paraId="30D24329" w14:textId="77777777" w:rsidR="00C84162" w:rsidRDefault="00C84162" w:rsidP="00C841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AA"/>
    <w:rsid w:val="001513AA"/>
    <w:rsid w:val="006269D2"/>
    <w:rsid w:val="00C84162"/>
    <w:rsid w:val="00F809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7CDA44"/>
  <w15:chartTrackingRefBased/>
  <w15:docId w15:val="{D5C75512-4E15-4E68-A686-553DCA42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3A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513AA"/>
    <w:pPr>
      <w:spacing w:after="0" w:line="240" w:lineRule="auto"/>
      <w:jc w:val="both"/>
    </w:pPr>
  </w:style>
  <w:style w:type="character" w:styleId="Lienhypertexte">
    <w:name w:val="Hyperlink"/>
    <w:basedOn w:val="Policepardfaut"/>
    <w:uiPriority w:val="99"/>
    <w:unhideWhenUsed/>
    <w:rsid w:val="001513AA"/>
    <w:rPr>
      <w:color w:val="0563C1" w:themeColor="hyperlink"/>
      <w:u w:val="single"/>
    </w:rPr>
  </w:style>
  <w:style w:type="paragraph" w:styleId="Corpsdetexte">
    <w:name w:val="Body Text"/>
    <w:basedOn w:val="Normal"/>
    <w:link w:val="CorpsdetexteCar"/>
    <w:rsid w:val="001513AA"/>
    <w:pPr>
      <w:spacing w:after="0" w:line="240" w:lineRule="auto"/>
      <w:ind w:right="1"/>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1513AA"/>
    <w:rPr>
      <w:rFonts w:ascii="Times New Roman" w:eastAsia="Times New Roman" w:hAnsi="Times New Roman" w:cs="Times New Roman"/>
      <w:sz w:val="24"/>
      <w:szCs w:val="20"/>
      <w:lang w:eastAsia="fr-FR"/>
    </w:rPr>
  </w:style>
  <w:style w:type="paragraph" w:styleId="En-tte">
    <w:name w:val="header"/>
    <w:basedOn w:val="Normal"/>
    <w:link w:val="En-tteCar"/>
    <w:uiPriority w:val="99"/>
    <w:unhideWhenUsed/>
    <w:rsid w:val="00C84162"/>
    <w:pPr>
      <w:tabs>
        <w:tab w:val="center" w:pos="4536"/>
        <w:tab w:val="right" w:pos="9072"/>
      </w:tabs>
      <w:spacing w:after="0" w:line="240" w:lineRule="auto"/>
    </w:pPr>
  </w:style>
  <w:style w:type="character" w:customStyle="1" w:styleId="En-tteCar">
    <w:name w:val="En-tête Car"/>
    <w:basedOn w:val="Policepardfaut"/>
    <w:link w:val="En-tte"/>
    <w:uiPriority w:val="99"/>
    <w:rsid w:val="00C84162"/>
  </w:style>
  <w:style w:type="paragraph" w:styleId="Pieddepage">
    <w:name w:val="footer"/>
    <w:basedOn w:val="Normal"/>
    <w:link w:val="PieddepageCar"/>
    <w:uiPriority w:val="99"/>
    <w:unhideWhenUsed/>
    <w:rsid w:val="00C841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4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4736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MICHEL</dc:creator>
  <cp:keywords/>
  <dc:description/>
  <cp:lastModifiedBy>Sebastien MICHEL</cp:lastModifiedBy>
  <cp:revision>4</cp:revision>
  <dcterms:created xsi:type="dcterms:W3CDTF">2022-06-16T11:31:00Z</dcterms:created>
  <dcterms:modified xsi:type="dcterms:W3CDTF">2022-06-17T07:15:00Z</dcterms:modified>
</cp:coreProperties>
</file>